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keepLines/>
        <w:pageBreakBefore w:val="0"/>
        <w:widowControl/>
        <w:kinsoku/>
        <w:wordWrap/>
        <w:overflowPunct/>
        <w:topLinePunct w:val="0"/>
        <w:autoSpaceDE/>
        <w:autoSpaceDN/>
        <w:bidi w:val="0"/>
        <w:adjustRightInd/>
        <w:snapToGrid/>
        <w:spacing w:before="0" w:after="157" w:afterLines="5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初始审查工作表（非医药专业）</w:t>
      </w:r>
    </w:p>
    <w:tbl>
      <w:tblPr>
        <w:tblStyle w:val="9"/>
        <w:tblW w:w="9674" w:type="dxa"/>
        <w:jc w:val="center"/>
        <w:tblLayout w:type="fixed"/>
        <w:tblCellMar>
          <w:top w:w="0" w:type="dxa"/>
          <w:left w:w="108" w:type="dxa"/>
          <w:bottom w:w="0" w:type="dxa"/>
          <w:right w:w="108" w:type="dxa"/>
        </w:tblCellMar>
      </w:tblPr>
      <w:tblGrid>
        <w:gridCol w:w="636"/>
        <w:gridCol w:w="567"/>
        <w:gridCol w:w="516"/>
        <w:gridCol w:w="426"/>
        <w:gridCol w:w="2692"/>
        <w:gridCol w:w="194"/>
        <w:gridCol w:w="567"/>
        <w:gridCol w:w="1424"/>
        <w:gridCol w:w="233"/>
        <w:gridCol w:w="2419"/>
      </w:tblGrid>
      <w:tr>
        <w:tblPrEx>
          <w:tblCellMar>
            <w:top w:w="0" w:type="dxa"/>
            <w:left w:w="108" w:type="dxa"/>
            <w:bottom w:w="0" w:type="dxa"/>
            <w:right w:w="108" w:type="dxa"/>
          </w:tblCellMar>
        </w:tblPrEx>
        <w:trPr>
          <w:trHeight w:val="501" w:hRule="atLeast"/>
          <w:jc w:val="center"/>
        </w:trPr>
        <w:tc>
          <w:tcPr>
            <w:tcW w:w="17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受理号</w:t>
            </w:r>
          </w:p>
        </w:tc>
        <w:tc>
          <w:tcPr>
            <w:tcW w:w="7955" w:type="dxa"/>
            <w:gridSpan w:val="7"/>
            <w:tcBorders>
              <w:top w:val="single" w:color="000000" w:sz="4" w:space="0"/>
              <w:left w:val="single" w:color="000000" w:sz="4" w:space="0"/>
              <w:bottom w:val="single" w:color="000000" w:sz="4" w:space="0"/>
              <w:right w:val="single" w:color="000000" w:sz="4" w:space="0"/>
            </w:tcBorders>
            <w:noWrap w:val="0"/>
            <w:vAlign w:val="top"/>
          </w:tcPr>
          <w:p>
            <w:pPr>
              <w:ind w:left="651"/>
              <w:jc w:val="cente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01" w:hRule="atLeast"/>
          <w:jc w:val="center"/>
        </w:trPr>
        <w:tc>
          <w:tcPr>
            <w:tcW w:w="17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项目名称</w:t>
            </w:r>
          </w:p>
        </w:tc>
        <w:tc>
          <w:tcPr>
            <w:tcW w:w="7955" w:type="dxa"/>
            <w:gridSpan w:val="7"/>
            <w:tcBorders>
              <w:top w:val="single" w:color="000000" w:sz="4" w:space="0"/>
              <w:left w:val="single" w:color="000000" w:sz="4" w:space="0"/>
              <w:bottom w:val="single" w:color="000000" w:sz="4" w:space="0"/>
              <w:right w:val="single" w:color="000000" w:sz="4" w:space="0"/>
            </w:tcBorders>
            <w:noWrap w:val="0"/>
            <w:vAlign w:val="top"/>
          </w:tcPr>
          <w:p>
            <w:pPr>
              <w:ind w:left="651"/>
              <w:jc w:val="cente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27" w:hRule="atLeast"/>
          <w:jc w:val="center"/>
        </w:trPr>
        <w:tc>
          <w:tcPr>
            <w:tcW w:w="17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临床研究类别</w:t>
            </w:r>
          </w:p>
        </w:tc>
        <w:tc>
          <w:tcPr>
            <w:tcW w:w="7955" w:type="dxa"/>
            <w:gridSpan w:val="7"/>
            <w:tcBorders>
              <w:top w:val="single" w:color="000000" w:sz="4" w:space="0"/>
              <w:left w:val="single" w:color="000000" w:sz="4" w:space="0"/>
              <w:bottom w:val="single" w:color="000000" w:sz="4" w:space="0"/>
              <w:right w:val="single" w:color="000000" w:sz="4" w:space="0"/>
            </w:tcBorders>
            <w:noWrap w:val="0"/>
            <w:vAlign w:val="center"/>
          </w:tcPr>
          <w:p>
            <w:pPr>
              <w:spacing w:line="300" w:lineRule="exact"/>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药物注册临床试验                  </w:t>
            </w:r>
            <w:r>
              <w:rPr>
                <w:rFonts w:hint="eastAsia" w:ascii="宋体" w:hAnsi="宋体" w:eastAsia="宋体" w:cs="宋体"/>
                <w:color w:val="000000"/>
                <w:sz w:val="21"/>
                <w:szCs w:val="21"/>
              </w:rPr>
              <w:sym w:font="Wingdings 2" w:char="00A3"/>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医疗器械注册临床试验   </w:t>
            </w:r>
          </w:p>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cs="宋体"/>
                <w:color w:val="000000"/>
                <w:sz w:val="21"/>
                <w:szCs w:val="21"/>
                <w:lang w:val="en-US" w:eastAsia="zh-CN"/>
              </w:rPr>
              <w:t xml:space="preserve"> </w:t>
            </w:r>
            <w:r>
              <w:rPr>
                <w:rFonts w:hint="eastAsia" w:ascii="宋体" w:hAnsi="宋体" w:eastAsia="宋体" w:cs="宋体"/>
                <w:color w:val="000000"/>
                <w:sz w:val="21"/>
                <w:szCs w:val="21"/>
              </w:rPr>
              <w:t xml:space="preserve">申办方发起的非注册性临床研究     </w:t>
            </w:r>
          </w:p>
        </w:tc>
      </w:tr>
      <w:tr>
        <w:tblPrEx>
          <w:tblCellMar>
            <w:top w:w="0" w:type="dxa"/>
            <w:left w:w="108" w:type="dxa"/>
            <w:bottom w:w="0" w:type="dxa"/>
            <w:right w:w="108" w:type="dxa"/>
          </w:tblCellMar>
        </w:tblPrEx>
        <w:trPr>
          <w:trHeight w:val="527" w:hRule="atLeast"/>
          <w:jc w:val="center"/>
        </w:trPr>
        <w:tc>
          <w:tcPr>
            <w:tcW w:w="17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申办方</w:t>
            </w:r>
          </w:p>
        </w:tc>
        <w:tc>
          <w:tcPr>
            <w:tcW w:w="3312"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rPr>
                <w:rFonts w:hint="eastAsia" w:ascii="宋体" w:hAnsi="宋体" w:eastAsia="宋体" w:cs="宋体"/>
                <w:color w:val="000000"/>
                <w:sz w:val="21"/>
                <w:szCs w:val="21"/>
              </w:rPr>
            </w:pPr>
          </w:p>
        </w:tc>
        <w:tc>
          <w:tcPr>
            <w:tcW w:w="1991"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pacing w:val="20"/>
                <w:sz w:val="21"/>
                <w:szCs w:val="21"/>
              </w:rPr>
              <w:t>专业组</w:t>
            </w:r>
          </w:p>
        </w:tc>
        <w:tc>
          <w:tcPr>
            <w:tcW w:w="265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00" w:lineRule="exact"/>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27" w:hRule="atLeast"/>
          <w:jc w:val="center"/>
        </w:trPr>
        <w:tc>
          <w:tcPr>
            <w:tcW w:w="1719"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主要研究者</w:t>
            </w:r>
          </w:p>
        </w:tc>
        <w:tc>
          <w:tcPr>
            <w:tcW w:w="3312" w:type="dxa"/>
            <w:gridSpan w:val="3"/>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color w:val="000000"/>
                <w:sz w:val="21"/>
                <w:szCs w:val="21"/>
              </w:rPr>
            </w:pPr>
          </w:p>
        </w:tc>
        <w:tc>
          <w:tcPr>
            <w:tcW w:w="199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主审委员</w:t>
            </w:r>
          </w:p>
        </w:tc>
        <w:tc>
          <w:tcPr>
            <w:tcW w:w="2652" w:type="dxa"/>
            <w:gridSpan w:val="2"/>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numPr>
                <w:ilvl w:val="0"/>
                <w:numId w:val="1"/>
              </w:numPr>
              <w:jc w:val="center"/>
              <w:rPr>
                <w:rFonts w:hint="eastAsia" w:ascii="宋体" w:hAnsi="宋体" w:eastAsia="宋体" w:cs="宋体"/>
                <w:b/>
                <w:color w:val="000000"/>
                <w:sz w:val="21"/>
                <w:szCs w:val="21"/>
              </w:rPr>
            </w:pPr>
            <w:r>
              <w:rPr>
                <w:rFonts w:hint="eastAsia" w:ascii="宋体" w:hAnsi="宋体" w:eastAsia="宋体" w:cs="宋体"/>
                <w:b/>
                <w:color w:val="000000"/>
                <w:sz w:val="21"/>
                <w:szCs w:val="21"/>
                <w:lang w:eastAsia="zh-CN"/>
              </w:rPr>
              <w:t>研究参与者</w:t>
            </w:r>
            <w:r>
              <w:rPr>
                <w:rFonts w:hint="eastAsia" w:ascii="宋体" w:hAnsi="宋体" w:eastAsia="宋体" w:cs="宋体"/>
                <w:b/>
                <w:color w:val="000000"/>
                <w:sz w:val="21"/>
                <w:szCs w:val="21"/>
              </w:rPr>
              <w:t>的招募</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1.1</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研究的受益和风险在目标疾病人群中公平和公正分配。</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1.2</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招募材料无诱导与胁迫。</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1.3</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招募方式的合理性。</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numPr>
                <w:ilvl w:val="0"/>
                <w:numId w:val="1"/>
              </w:numPr>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知情同意书</w:t>
            </w: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noWrap w:val="0"/>
            <w:vAlign w:val="center"/>
          </w:tcPr>
          <w:p>
            <w:pPr>
              <w:ind w:left="1071"/>
              <w:rPr>
                <w:rFonts w:hint="eastAsia" w:ascii="宋体" w:hAnsi="宋体" w:eastAsia="宋体" w:cs="宋体"/>
                <w:b/>
                <w:color w:val="000000"/>
                <w:sz w:val="21"/>
                <w:szCs w:val="21"/>
              </w:rPr>
            </w:pPr>
            <w:r>
              <w:rPr>
                <w:rFonts w:hint="eastAsia" w:ascii="宋体" w:hAnsi="宋体" w:eastAsia="宋体" w:cs="宋体"/>
                <w:color w:val="000000"/>
                <w:sz w:val="21"/>
                <w:szCs w:val="21"/>
              </w:rPr>
              <w:t xml:space="preserve">知情同意书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有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无（以下内容均为“不适用”，不再勾选）</w:t>
            </w:r>
          </w:p>
        </w:tc>
      </w:tr>
      <w:tr>
        <w:tblPrEx>
          <w:tblCellMar>
            <w:top w:w="0" w:type="dxa"/>
            <w:left w:w="108" w:type="dxa"/>
            <w:bottom w:w="0" w:type="dxa"/>
            <w:right w:w="108" w:type="dxa"/>
          </w:tblCellMar>
        </w:tblPrEx>
        <w:trPr>
          <w:trHeight w:val="527" w:hRule="atLeast"/>
          <w:jc w:val="center"/>
        </w:trPr>
        <w:tc>
          <w:tcPr>
            <w:tcW w:w="636" w:type="dxa"/>
            <w:vMerge w:val="restart"/>
            <w:tcBorders>
              <w:left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2.1</w:t>
            </w:r>
          </w:p>
        </w:tc>
        <w:tc>
          <w:tcPr>
            <w:tcW w:w="567" w:type="dxa"/>
            <w:vMerge w:val="restart"/>
            <w:tcBorders>
              <w:left w:val="nil"/>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告知充分</w:t>
            </w: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研究概况、目的告知充分</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研究治疗和随机分配至各组的可能性</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应遵循的研究步骤（包括创伤性医疗操作、检查与检测、随访方式与次数等）</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的义务</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临床研究所涉及研究性的内容</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研究可能致</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的风险或者不便，尤其是存在影响胚胎、胎儿或者哺乳婴儿的风险时</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研究预期的获益，以及不能获益的可能性</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shd w:val="clear" w:color="auto" w:fill="FFFFFF"/>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其它可选的药物和治疗方法，及其重要的潜在获益和风险</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shd w:val="clear" w:color="auto" w:fill="FFFFFF"/>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发生与研究相关的损害时，可获得赔偿以及治疗</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shd w:val="clear" w:color="auto" w:fill="FFFFFF"/>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参加临床研究可能获得的补偿</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参加临床研究预期的花费</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参加研究是自愿的，可以拒绝参加或者有权在研究任何阶段随时退出研究而不会遭到歧视或者报复，其医疗待遇与权益不会受到影响</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在不违反保密原则和相关法规的情况下，监查员、稽查员、伦理审查委员会、机构研究管理部门、药品监督管理部门和政府监管部门的检查人员可以查阅</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的原始医学记录，以核实临床研究的过程和数据</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相关身份鉴别记录的保密事宜，不公开使用。如果发布临床研究结果，</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的身份信息仍保密</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有新的可能影响</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继续参加研究的信息时，将及时告知</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或者其监护人</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当存在有关研究信息和</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权益的问题，以及发生研究相关损害时，</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可联系的研究者和伦理审查委员会及其联系方式</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可能被终止研究的情况以及理由</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参加研究的预期持续时间</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567" w:type="dxa"/>
            <w:vMerge w:val="continue"/>
            <w:tcBorders>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p>
        </w:tc>
        <w:tc>
          <w:tcPr>
            <w:tcW w:w="4395" w:type="dxa"/>
            <w:gridSpan w:val="5"/>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参加该研究的预计</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人数</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2.2</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知情同意书没有任何要求</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或其合法代表放弃其合法权益的内容，没有免除研究者、研究机构、申办方或其合法代表逃避过失责任的内容</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2.3</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知情同意书通俗易懂，语言表述适合潜在</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群体理解的水平</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2.4</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知情同意书无诱导与胁迫</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2.5</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计划纳入不能表达知情同意者作为</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时，理由充分正当，对如何获得知情同意或授权同意有详细说明</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2.6</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非因本研究目的采集</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的标本或使用</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的剩余标本开展其它临床研究的，应以另一知情同意书单独告知</w:t>
            </w:r>
          </w:p>
        </w:tc>
        <w:tc>
          <w:tcPr>
            <w:tcW w:w="4076"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numPr>
                <w:ilvl w:val="0"/>
                <w:numId w:val="1"/>
              </w:numPr>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隐私和保密</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3.1</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可以查阅</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个人信息（包括病历记录、生物学标本）人员的规定</w:t>
            </w:r>
          </w:p>
        </w:tc>
        <w:tc>
          <w:tcPr>
            <w:tcW w:w="4076"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3.2</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确保</w:t>
            </w:r>
            <w:r>
              <w:rPr>
                <w:rFonts w:hint="eastAsia" w:ascii="宋体" w:hAnsi="宋体" w:eastAsia="宋体" w:cs="宋体"/>
                <w:color w:val="000000"/>
                <w:sz w:val="21"/>
                <w:szCs w:val="21"/>
                <w:lang w:eastAsia="zh-CN"/>
              </w:rPr>
              <w:t>研究参与者</w:t>
            </w:r>
            <w:r>
              <w:rPr>
                <w:rFonts w:hint="eastAsia" w:ascii="宋体" w:hAnsi="宋体" w:eastAsia="宋体" w:cs="宋体"/>
                <w:color w:val="000000"/>
                <w:sz w:val="21"/>
                <w:szCs w:val="21"/>
              </w:rPr>
              <w:t>个人信息保密和安全的措施</w:t>
            </w:r>
          </w:p>
        </w:tc>
        <w:tc>
          <w:tcPr>
            <w:tcW w:w="4076"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numPr>
                <w:ilvl w:val="0"/>
                <w:numId w:val="1"/>
              </w:numPr>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涉及脆弱群体的研究</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default" w:ascii="Times New Roman" w:hAnsi="Times New Roman" w:eastAsia="宋体" w:cs="Times New Roman"/>
                <w:color w:val="000000"/>
                <w:sz w:val="21"/>
                <w:szCs w:val="21"/>
              </w:rPr>
              <w:t>4.1</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不能无理由将脆弱群体排除在外</w:t>
            </w:r>
          </w:p>
        </w:tc>
        <w:tc>
          <w:tcPr>
            <w:tcW w:w="4076"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default" w:ascii="Times New Roman" w:hAnsi="Times New Roman" w:eastAsia="宋体" w:cs="Times New Roman"/>
                <w:color w:val="000000"/>
                <w:sz w:val="21"/>
                <w:szCs w:val="21"/>
              </w:rPr>
              <w:t>4.2</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针对脆弱原因采取特殊保护措施</w:t>
            </w:r>
          </w:p>
        </w:tc>
        <w:tc>
          <w:tcPr>
            <w:tcW w:w="4076"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shd w:val="clear" w:color="auto" w:fill="D9D9D9"/>
            <w:noWrap w:val="0"/>
            <w:vAlign w:val="center"/>
          </w:tcPr>
          <w:p>
            <w:pPr>
              <w:widowControl/>
              <w:numPr>
                <w:ilvl w:val="0"/>
                <w:numId w:val="1"/>
              </w:numPr>
              <w:jc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涉及特殊疾病人群、特定地区人群/族群的研究</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5.1</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该研究对特殊疾病人群、特定地区人群/族群造成的影响</w:t>
            </w:r>
          </w:p>
        </w:tc>
        <w:tc>
          <w:tcPr>
            <w:tcW w:w="4076"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5.2</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研究过程中，计划向该人群进行咨询</w:t>
            </w:r>
          </w:p>
        </w:tc>
        <w:tc>
          <w:tcPr>
            <w:tcW w:w="4076"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527" w:hRule="atLeast"/>
          <w:jc w:val="center"/>
        </w:trPr>
        <w:tc>
          <w:tcPr>
            <w:tcW w:w="6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5.3</w:t>
            </w:r>
          </w:p>
        </w:tc>
        <w:tc>
          <w:tcPr>
            <w:tcW w:w="4962" w:type="dxa"/>
            <w:gridSpan w:val="6"/>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该研究有利于当地的发展，如加强当地的医疗保健服务，提升研究能力，以及应对公共卫生需求的能力</w:t>
            </w:r>
          </w:p>
        </w:tc>
        <w:tc>
          <w:tcPr>
            <w:tcW w:w="4076"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不符合要求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不适用</w:t>
            </w:r>
          </w:p>
        </w:tc>
      </w:tr>
      <w:tr>
        <w:tblPrEx>
          <w:tblCellMar>
            <w:top w:w="0" w:type="dxa"/>
            <w:left w:w="108" w:type="dxa"/>
            <w:bottom w:w="0" w:type="dxa"/>
            <w:right w:w="108" w:type="dxa"/>
          </w:tblCellMar>
        </w:tblPrEx>
        <w:trPr>
          <w:trHeight w:val="1471"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主审委员意见</w:t>
            </w:r>
          </w:p>
          <w:p>
            <w:pPr>
              <w:rPr>
                <w:rFonts w:hint="eastAsia" w:ascii="宋体" w:hAnsi="宋体" w:eastAsia="宋体" w:cs="宋体"/>
                <w:color w:val="000000"/>
                <w:sz w:val="21"/>
                <w:szCs w:val="21"/>
              </w:rPr>
            </w:pPr>
            <w:r>
              <w:rPr>
                <w:rFonts w:hint="eastAsia" w:ascii="宋体" w:hAnsi="宋体" w:eastAsia="宋体" w:cs="宋体"/>
                <w:color w:val="000000"/>
                <w:sz w:val="21"/>
                <w:szCs w:val="21"/>
              </w:rPr>
              <w:t>对临床研究方案、知情同意书等的意见：（如需邀请独立顾问，请逐条列出需咨询的问题）</w:t>
            </w: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审查意见：</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同意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修改后同意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不同意</w:t>
            </w:r>
          </w:p>
        </w:tc>
      </w:tr>
      <w:tr>
        <w:tblPrEx>
          <w:tblCellMar>
            <w:top w:w="0" w:type="dxa"/>
            <w:left w:w="108" w:type="dxa"/>
            <w:bottom w:w="0" w:type="dxa"/>
            <w:right w:w="108" w:type="dxa"/>
          </w:tblCellMar>
        </w:tblPrEx>
        <w:trPr>
          <w:trHeight w:val="527" w:hRule="atLeast"/>
          <w:jc w:val="center"/>
        </w:trPr>
        <w:tc>
          <w:tcPr>
            <w:tcW w:w="9674" w:type="dxa"/>
            <w:gridSpan w:val="10"/>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跟踪审查频率建议：</w:t>
            </w:r>
            <w:r>
              <w:rPr>
                <w:rFonts w:hint="eastAsia" w:ascii="宋体" w:hAnsi="宋体" w:eastAsia="宋体" w:cs="宋体"/>
                <w:color w:val="000000"/>
                <w:sz w:val="21"/>
                <w:szCs w:val="21"/>
              </w:rPr>
              <w:sym w:font="Wingdings 2" w:char="00A3"/>
            </w:r>
            <w:r>
              <w:rPr>
                <w:rFonts w:hint="default" w:ascii="Times New Roman" w:hAnsi="Times New Roman" w:eastAsia="宋体" w:cs="Times New Roman"/>
                <w:color w:val="000000"/>
                <w:sz w:val="21"/>
                <w:szCs w:val="21"/>
              </w:rPr>
              <w:t>3</w:t>
            </w:r>
            <w:r>
              <w:rPr>
                <w:rFonts w:hint="eastAsia" w:ascii="宋体" w:hAnsi="宋体" w:eastAsia="宋体" w:cs="宋体"/>
                <w:color w:val="000000"/>
                <w:sz w:val="21"/>
                <w:szCs w:val="21"/>
              </w:rPr>
              <w:t xml:space="preserve">个月    </w:t>
            </w:r>
            <w:r>
              <w:rPr>
                <w:rFonts w:hint="eastAsia" w:ascii="宋体" w:hAnsi="宋体" w:eastAsia="宋体" w:cs="宋体"/>
                <w:color w:val="000000"/>
                <w:sz w:val="21"/>
                <w:szCs w:val="21"/>
              </w:rPr>
              <w:sym w:font="Wingdings 2" w:char="00A3"/>
            </w:r>
            <w:r>
              <w:rPr>
                <w:rFonts w:hint="default" w:ascii="Times New Roman" w:hAnsi="Times New Roman" w:eastAsia="宋体" w:cs="Times New Roman"/>
                <w:color w:val="000000"/>
                <w:sz w:val="21"/>
                <w:szCs w:val="21"/>
              </w:rPr>
              <w:t>6</w:t>
            </w:r>
            <w:r>
              <w:rPr>
                <w:rFonts w:hint="eastAsia" w:ascii="宋体" w:hAnsi="宋体" w:eastAsia="宋体" w:cs="宋体"/>
                <w:color w:val="000000"/>
                <w:sz w:val="21"/>
                <w:szCs w:val="21"/>
              </w:rPr>
              <w:t xml:space="preserve">个月     </w:t>
            </w:r>
            <w:r>
              <w:rPr>
                <w:rFonts w:hint="eastAsia" w:ascii="宋体" w:hAnsi="宋体" w:eastAsia="宋体" w:cs="宋体"/>
                <w:color w:val="000000"/>
                <w:sz w:val="21"/>
                <w:szCs w:val="21"/>
              </w:rPr>
              <w:sym w:font="Wingdings 2" w:char="00A3"/>
            </w:r>
            <w:r>
              <w:rPr>
                <w:rFonts w:hint="default" w:ascii="Times New Roman" w:hAnsi="Times New Roman" w:eastAsia="宋体" w:cs="Times New Roman"/>
                <w:color w:val="000000"/>
                <w:sz w:val="21"/>
                <w:szCs w:val="21"/>
              </w:rPr>
              <w:t>9</w:t>
            </w:r>
            <w:r>
              <w:rPr>
                <w:rFonts w:hint="eastAsia" w:ascii="宋体" w:hAnsi="宋体" w:eastAsia="宋体" w:cs="宋体"/>
                <w:color w:val="000000"/>
                <w:sz w:val="21"/>
                <w:szCs w:val="21"/>
              </w:rPr>
              <w:t xml:space="preserve">个月     </w:t>
            </w:r>
            <w:r>
              <w:rPr>
                <w:rFonts w:hint="eastAsia" w:ascii="宋体" w:hAnsi="宋体" w:eastAsia="宋体" w:cs="宋体"/>
                <w:color w:val="000000"/>
                <w:sz w:val="21"/>
                <w:szCs w:val="21"/>
              </w:rPr>
              <w:sym w:font="Wingdings 2" w:char="00A3"/>
            </w:r>
            <w:r>
              <w:rPr>
                <w:rFonts w:hint="default" w:ascii="Times New Roman" w:hAnsi="Times New Roman" w:eastAsia="宋体" w:cs="Times New Roman"/>
                <w:color w:val="000000"/>
                <w:sz w:val="21"/>
                <w:szCs w:val="21"/>
              </w:rPr>
              <w:t>12</w:t>
            </w:r>
            <w:r>
              <w:rPr>
                <w:rFonts w:hint="eastAsia" w:ascii="宋体" w:hAnsi="宋体" w:eastAsia="宋体" w:cs="宋体"/>
                <w:color w:val="000000"/>
                <w:sz w:val="21"/>
                <w:szCs w:val="21"/>
              </w:rPr>
              <w:t xml:space="preserve">个月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其它______</w:t>
            </w:r>
          </w:p>
        </w:tc>
      </w:tr>
      <w:tr>
        <w:tblPrEx>
          <w:tblCellMar>
            <w:top w:w="0" w:type="dxa"/>
            <w:left w:w="108" w:type="dxa"/>
            <w:bottom w:w="0" w:type="dxa"/>
            <w:right w:w="108" w:type="dxa"/>
          </w:tblCellMar>
        </w:tblPrEx>
        <w:trPr>
          <w:trHeight w:val="527" w:hRule="atLeast"/>
          <w:jc w:val="center"/>
        </w:trPr>
        <w:tc>
          <w:tcPr>
            <w:tcW w:w="2145"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主审委员声明</w:t>
            </w:r>
          </w:p>
        </w:tc>
        <w:tc>
          <w:tcPr>
            <w:tcW w:w="7529"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作为审查人员，我与该研究项目之间不存在相关的利益冲突。</w:t>
            </w:r>
          </w:p>
        </w:tc>
      </w:tr>
      <w:tr>
        <w:tblPrEx>
          <w:tblCellMar>
            <w:top w:w="0" w:type="dxa"/>
            <w:left w:w="108" w:type="dxa"/>
            <w:bottom w:w="0" w:type="dxa"/>
            <w:right w:w="108" w:type="dxa"/>
          </w:tblCellMar>
        </w:tblPrEx>
        <w:trPr>
          <w:trHeight w:val="527" w:hRule="atLeast"/>
          <w:jc w:val="center"/>
        </w:trPr>
        <w:tc>
          <w:tcPr>
            <w:tcW w:w="2145" w:type="dxa"/>
            <w:gridSpan w:val="4"/>
            <w:tcBorders>
              <w:top w:val="single" w:color="000000" w:sz="4" w:space="0"/>
              <w:left w:val="single" w:color="000000" w:sz="4" w:space="0"/>
              <w:bottom w:val="double" w:color="000000" w:sz="2"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签名</w:t>
            </w:r>
          </w:p>
        </w:tc>
        <w:tc>
          <w:tcPr>
            <w:tcW w:w="2692" w:type="dxa"/>
            <w:tcBorders>
              <w:top w:val="single" w:color="000000" w:sz="4" w:space="0"/>
              <w:left w:val="single" w:color="000000" w:sz="4" w:space="0"/>
              <w:bottom w:val="double" w:color="000000" w:sz="2"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2418" w:type="dxa"/>
            <w:gridSpan w:val="4"/>
            <w:tcBorders>
              <w:top w:val="single" w:color="000000" w:sz="4" w:space="0"/>
              <w:left w:val="single" w:color="000000" w:sz="4" w:space="0"/>
              <w:bottom w:val="double" w:color="000000" w:sz="2"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日期</w:t>
            </w:r>
          </w:p>
        </w:tc>
        <w:tc>
          <w:tcPr>
            <w:tcW w:w="2419" w:type="dxa"/>
            <w:tcBorders>
              <w:top w:val="single" w:color="000000" w:sz="4" w:space="0"/>
              <w:left w:val="single" w:color="000000" w:sz="4" w:space="0"/>
              <w:bottom w:val="double" w:color="000000" w:sz="2" w:space="0"/>
              <w:right w:val="single" w:color="000000" w:sz="4" w:space="0"/>
            </w:tcBorders>
            <w:noWrap w:val="0"/>
            <w:vAlign w:val="center"/>
          </w:tcPr>
          <w:p>
            <w:pPr>
              <w:jc w:val="center"/>
              <w:rPr>
                <w:rFonts w:hint="eastAsia" w:ascii="宋体" w:hAnsi="宋体" w:eastAsia="宋体" w:cs="宋体"/>
                <w:color w:val="000000"/>
                <w:sz w:val="21"/>
                <w:szCs w:val="21"/>
              </w:rPr>
            </w:pPr>
          </w:p>
        </w:tc>
      </w:tr>
    </w:tbl>
    <w:p>
      <w:pPr>
        <w:rPr>
          <w:rFonts w:hint="eastAsia" w:ascii="宋体" w:hAnsi="宋体" w:eastAsia="宋体" w:cs="宋体"/>
          <w:sz w:val="21"/>
          <w:szCs w:val="21"/>
        </w:rPr>
      </w:pPr>
    </w:p>
    <w:p>
      <w:pPr>
        <w:rPr>
          <w:rFonts w:hint="eastAsia" w:ascii="宋体" w:hAnsi="宋体" w:eastAsia="宋体" w:cs="宋体"/>
          <w:sz w:val="21"/>
          <w:szCs w:val="21"/>
        </w:rPr>
      </w:pPr>
    </w:p>
    <w:sectPr>
      <w:headerReference r:id="rId3" w:type="default"/>
      <w:footerReference r:id="rId4" w:type="default"/>
      <w:pgSz w:w="11906" w:h="16838"/>
      <w:pgMar w:top="1417" w:right="1418" w:bottom="1417" w:left="1417" w:header="1020" w:footer="90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宋体" w:hAnsi="宋体" w:eastAsia="宋体" w:cs="宋体"/>
      </w:rPr>
    </w:pPr>
    <w:bookmarkStart w:id="0" w:name="_GoBack"/>
    <w:bookmarkEnd w:id="0"/>
    <w:r>
      <w:rPr>
        <w:rFonts w:hint="eastAsia" w:ascii="宋体" w:hAnsi="宋体" w:eastAsia="宋体" w:cs="宋体"/>
        <w:kern w:val="0"/>
        <w:szCs w:val="21"/>
      </w:rPr>
      <w:t xml:space="preserve">第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PAGE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3</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 / 共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NUMPAGES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3</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rPr>
        <w:rFonts w:hint="eastAsia"/>
      </w:rPr>
    </w:pPr>
    <w:r>
      <w:rPr>
        <w:rFonts w:hint="eastAsia" w:ascii="宋体" w:hAnsi="宋体"/>
        <w:lang w:val="en-US" w:eastAsia="zh-CN"/>
      </w:rPr>
      <w:t>建德市第一人民医院临床试验伦理办公室</w:t>
    </w:r>
    <w:r>
      <w:rPr>
        <w:rFonts w:hint="eastAsia"/>
      </w:rPr>
      <w:ptab w:relativeTo="margin" w:alignment="right" w:leader="none"/>
    </w:r>
    <w:r>
      <w:rPr>
        <w:rFonts w:hint="eastAsia"/>
      </w:rPr>
      <w:t>IEC-AF/1</w:t>
    </w:r>
    <w:r>
      <w:t>6</w:t>
    </w:r>
    <w:r>
      <w:rPr>
        <w:rFonts w:hint="eastAsia"/>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CB251D"/>
    <w:multiLevelType w:val="multilevel"/>
    <w:tmpl w:val="54CB251D"/>
    <w:lvl w:ilvl="0" w:tentative="0">
      <w:start w:val="1"/>
      <w:numFmt w:val="decimal"/>
      <w:lvlText w:val="%1."/>
      <w:lvlJc w:val="left"/>
      <w:pPr>
        <w:ind w:left="1071" w:hanging="420"/>
      </w:pPr>
      <w:rPr>
        <w:rFonts w:hint="default" w:ascii="Times New Roman" w:hAnsi="Times New Roman" w:cs="Times New Roman"/>
        <w:sz w:val="21"/>
        <w:szCs w:val="21"/>
      </w:rPr>
    </w:lvl>
    <w:lvl w:ilvl="1" w:tentative="0">
      <w:start w:val="1"/>
      <w:numFmt w:val="lowerLetter"/>
      <w:lvlText w:val="%2)"/>
      <w:lvlJc w:val="left"/>
      <w:pPr>
        <w:ind w:left="1491" w:hanging="420"/>
      </w:pPr>
    </w:lvl>
    <w:lvl w:ilvl="2" w:tentative="0">
      <w:start w:val="1"/>
      <w:numFmt w:val="lowerRoman"/>
      <w:lvlText w:val="%3."/>
      <w:lvlJc w:val="right"/>
      <w:pPr>
        <w:ind w:left="1911" w:hanging="420"/>
      </w:pPr>
    </w:lvl>
    <w:lvl w:ilvl="3" w:tentative="0">
      <w:start w:val="1"/>
      <w:numFmt w:val="decimal"/>
      <w:lvlText w:val="%4."/>
      <w:lvlJc w:val="left"/>
      <w:pPr>
        <w:ind w:left="2331" w:hanging="420"/>
      </w:pPr>
    </w:lvl>
    <w:lvl w:ilvl="4" w:tentative="0">
      <w:start w:val="1"/>
      <w:numFmt w:val="lowerLetter"/>
      <w:lvlText w:val="%5)"/>
      <w:lvlJc w:val="left"/>
      <w:pPr>
        <w:ind w:left="2751" w:hanging="420"/>
      </w:pPr>
    </w:lvl>
    <w:lvl w:ilvl="5" w:tentative="0">
      <w:start w:val="1"/>
      <w:numFmt w:val="lowerRoman"/>
      <w:lvlText w:val="%6."/>
      <w:lvlJc w:val="right"/>
      <w:pPr>
        <w:ind w:left="3171" w:hanging="420"/>
      </w:pPr>
    </w:lvl>
    <w:lvl w:ilvl="6" w:tentative="0">
      <w:start w:val="1"/>
      <w:numFmt w:val="decimal"/>
      <w:lvlText w:val="%7."/>
      <w:lvlJc w:val="left"/>
      <w:pPr>
        <w:ind w:left="3591" w:hanging="420"/>
      </w:pPr>
    </w:lvl>
    <w:lvl w:ilvl="7" w:tentative="0">
      <w:start w:val="1"/>
      <w:numFmt w:val="lowerLetter"/>
      <w:lvlText w:val="%8)"/>
      <w:lvlJc w:val="left"/>
      <w:pPr>
        <w:ind w:left="4011" w:hanging="420"/>
      </w:pPr>
    </w:lvl>
    <w:lvl w:ilvl="8" w:tentative="0">
      <w:start w:val="1"/>
      <w:numFmt w:val="lowerRoman"/>
      <w:lvlText w:val="%9."/>
      <w:lvlJc w:val="right"/>
      <w:pPr>
        <w:ind w:left="44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jQ2MzYyNWFmZjA5NDM1NDhlNWViMWU5MWNmYTkifQ=="/>
  </w:docVars>
  <w:rsids>
    <w:rsidRoot w:val="00172A27"/>
    <w:rsid w:val="0000530F"/>
    <w:rsid w:val="00032CF5"/>
    <w:rsid w:val="00033711"/>
    <w:rsid w:val="00040822"/>
    <w:rsid w:val="000573D4"/>
    <w:rsid w:val="000A7089"/>
    <w:rsid w:val="00132309"/>
    <w:rsid w:val="001B64CB"/>
    <w:rsid w:val="0021633B"/>
    <w:rsid w:val="0026165B"/>
    <w:rsid w:val="002E40EB"/>
    <w:rsid w:val="002F2EFE"/>
    <w:rsid w:val="003153B5"/>
    <w:rsid w:val="00321A1C"/>
    <w:rsid w:val="003621FE"/>
    <w:rsid w:val="00380DCC"/>
    <w:rsid w:val="003A6C2B"/>
    <w:rsid w:val="003B5D58"/>
    <w:rsid w:val="00481FC8"/>
    <w:rsid w:val="004B2E51"/>
    <w:rsid w:val="004F0B45"/>
    <w:rsid w:val="004F3C1A"/>
    <w:rsid w:val="00526A49"/>
    <w:rsid w:val="00574F6E"/>
    <w:rsid w:val="005A7F69"/>
    <w:rsid w:val="00633A54"/>
    <w:rsid w:val="0064120B"/>
    <w:rsid w:val="006877ED"/>
    <w:rsid w:val="006C1F3E"/>
    <w:rsid w:val="006D0564"/>
    <w:rsid w:val="00700791"/>
    <w:rsid w:val="00763195"/>
    <w:rsid w:val="0077473E"/>
    <w:rsid w:val="0078458B"/>
    <w:rsid w:val="007B11C4"/>
    <w:rsid w:val="00827D15"/>
    <w:rsid w:val="0084399E"/>
    <w:rsid w:val="008605FF"/>
    <w:rsid w:val="00890682"/>
    <w:rsid w:val="0089797F"/>
    <w:rsid w:val="008C3A7E"/>
    <w:rsid w:val="008D775B"/>
    <w:rsid w:val="00940951"/>
    <w:rsid w:val="00954F79"/>
    <w:rsid w:val="00A2742E"/>
    <w:rsid w:val="00A406E0"/>
    <w:rsid w:val="00A56BA4"/>
    <w:rsid w:val="00A717DB"/>
    <w:rsid w:val="00A737FE"/>
    <w:rsid w:val="00BD1225"/>
    <w:rsid w:val="00BD1642"/>
    <w:rsid w:val="00C23337"/>
    <w:rsid w:val="00C73E76"/>
    <w:rsid w:val="00D06EF3"/>
    <w:rsid w:val="00D277E4"/>
    <w:rsid w:val="00D34BE9"/>
    <w:rsid w:val="00D75BFF"/>
    <w:rsid w:val="00D92CC0"/>
    <w:rsid w:val="00DB13A9"/>
    <w:rsid w:val="00E475D9"/>
    <w:rsid w:val="00E9200E"/>
    <w:rsid w:val="00EA79A4"/>
    <w:rsid w:val="00EB75DF"/>
    <w:rsid w:val="00EC2821"/>
    <w:rsid w:val="00EF4090"/>
    <w:rsid w:val="00F67833"/>
    <w:rsid w:val="00F71246"/>
    <w:rsid w:val="00F923D9"/>
    <w:rsid w:val="00FC6C4B"/>
    <w:rsid w:val="00FD2465"/>
    <w:rsid w:val="15350732"/>
    <w:rsid w:val="16381BA6"/>
    <w:rsid w:val="1C543064"/>
    <w:rsid w:val="2D4D512D"/>
    <w:rsid w:val="2DF33E6A"/>
    <w:rsid w:val="2F7F55E6"/>
    <w:rsid w:val="34DE0E37"/>
    <w:rsid w:val="3C0260B8"/>
    <w:rsid w:val="3E4B002B"/>
    <w:rsid w:val="510D0C36"/>
    <w:rsid w:val="53991934"/>
    <w:rsid w:val="63F50A6B"/>
    <w:rsid w:val="693F058C"/>
    <w:rsid w:val="6DB93C04"/>
    <w:rsid w:val="7753064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qFormat/>
    <w:uiPriority w:val="0"/>
    <w:pPr>
      <w:keepNext/>
      <w:keepLines/>
      <w:widowControl/>
      <w:spacing w:before="260" w:after="260" w:line="413" w:lineRule="auto"/>
      <w:jc w:val="left"/>
      <w:outlineLvl w:val="1"/>
    </w:pPr>
    <w:rPr>
      <w:rFonts w:ascii="Arial" w:hAnsi="Arial" w:eastAsia="黑体"/>
      <w:b/>
      <w:kern w:val="0"/>
      <w:sz w:val="32"/>
      <w:szCs w:val="20"/>
    </w:rPr>
  </w:style>
  <w:style w:type="character" w:default="1" w:styleId="10">
    <w:name w:val="Default Paragraph Fon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annotation text"/>
    <w:basedOn w:val="1"/>
    <w:link w:val="14"/>
    <w:autoRedefine/>
    <w:qFormat/>
    <w:uiPriority w:val="0"/>
    <w:pPr>
      <w:jc w:val="left"/>
    </w:pPr>
  </w:style>
  <w:style w:type="paragraph" w:styleId="4">
    <w:name w:val="Balloon Text"/>
    <w:basedOn w:val="1"/>
    <w:link w:val="15"/>
    <w:autoRedefine/>
    <w:qFormat/>
    <w:uiPriority w:val="0"/>
    <w:rPr>
      <w:sz w:val="18"/>
      <w:szCs w:val="18"/>
    </w:rPr>
  </w:style>
  <w:style w:type="paragraph" w:styleId="5">
    <w:name w:val="footer"/>
    <w:basedOn w:val="1"/>
    <w:link w:val="16"/>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0"/>
      <w:szCs w:val="20"/>
    </w:rPr>
  </w:style>
  <w:style w:type="paragraph" w:styleId="8">
    <w:name w:val="annotation subject"/>
    <w:basedOn w:val="3"/>
    <w:next w:val="3"/>
    <w:link w:val="17"/>
    <w:qFormat/>
    <w:uiPriority w:val="0"/>
    <w:rPr>
      <w:b/>
      <w:bCs/>
    </w:rPr>
  </w:style>
  <w:style w:type="character" w:styleId="11">
    <w:name w:val="page number"/>
    <w:qFormat/>
    <w:uiPriority w:val="0"/>
  </w:style>
  <w:style w:type="character" w:styleId="12">
    <w:name w:val="annotation reference"/>
    <w:qFormat/>
    <w:uiPriority w:val="0"/>
    <w:rPr>
      <w:sz w:val="21"/>
      <w:szCs w:val="21"/>
    </w:rPr>
  </w:style>
  <w:style w:type="character" w:customStyle="1" w:styleId="13">
    <w:name w:val="标题 2 字符"/>
    <w:link w:val="2"/>
    <w:qFormat/>
    <w:uiPriority w:val="0"/>
    <w:rPr>
      <w:rFonts w:ascii="Arial" w:hAnsi="Arial" w:eastAsia="黑体"/>
      <w:b/>
      <w:sz w:val="32"/>
    </w:rPr>
  </w:style>
  <w:style w:type="character" w:customStyle="1" w:styleId="14">
    <w:name w:val="批注文字 字符"/>
    <w:link w:val="3"/>
    <w:qFormat/>
    <w:uiPriority w:val="0"/>
    <w:rPr>
      <w:kern w:val="2"/>
      <w:sz w:val="21"/>
      <w:szCs w:val="24"/>
    </w:rPr>
  </w:style>
  <w:style w:type="character" w:customStyle="1" w:styleId="15">
    <w:name w:val="批注框文本 字符"/>
    <w:link w:val="4"/>
    <w:autoRedefine/>
    <w:qFormat/>
    <w:uiPriority w:val="0"/>
    <w:rPr>
      <w:kern w:val="2"/>
      <w:sz w:val="18"/>
      <w:szCs w:val="18"/>
    </w:rPr>
  </w:style>
  <w:style w:type="character" w:customStyle="1" w:styleId="16">
    <w:name w:val="页脚 字符"/>
    <w:link w:val="5"/>
    <w:qFormat/>
    <w:uiPriority w:val="0"/>
    <w:rPr>
      <w:kern w:val="2"/>
      <w:sz w:val="18"/>
      <w:szCs w:val="18"/>
    </w:rPr>
  </w:style>
  <w:style w:type="character" w:customStyle="1" w:styleId="17">
    <w:name w:val="批注主题 字符"/>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3</Pages>
  <Words>1806</Words>
  <Characters>1848</Characters>
  <Lines>15</Lines>
  <Paragraphs>4</Paragraphs>
  <TotalTime>0</TotalTime>
  <ScaleCrop>false</ScaleCrop>
  <LinksUpToDate>false</LinksUpToDate>
  <CharactersWithSpaces>1997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2012-07-05T06:08:00Z</dcterms:created>
  <dc:creator>差点是美男i</dc:creator>
  <cp:lastModifiedBy>yeying</cp:lastModifiedBy>
  <dcterms:modified xsi:type="dcterms:W3CDTF">2024-07-26T07:34:41Z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0DAD20790C5340E198B8F1DA58A9AFB9_13</vt:lpwstr>
  </property>
</Properties>
</file>